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sz w:val="40"/>
          <w:szCs w:val="40"/>
        </w:rPr>
        <w:t>危化品申购线上填报说明</w:t>
      </w:r>
    </w:p>
    <w:p>
      <w:pPr>
        <w:ind w:firstLine="632" w:firstLineChars="200"/>
        <w:rPr>
          <w:rFonts w:ascii="仿宋" w:hAnsi="仿宋" w:cs="仿宋"/>
          <w:szCs w:val="32"/>
        </w:rPr>
      </w:pPr>
      <w:r>
        <w:rPr>
          <w:rFonts w:hint="eastAsia" w:ascii="仿宋" w:hAnsi="仿宋" w:cs="仿宋"/>
          <w:szCs w:val="32"/>
        </w:rPr>
        <w:t>1.申请加入“企业微信-上海海洋大学”</w:t>
      </w:r>
    </w:p>
    <w:p>
      <w:pPr>
        <w:ind w:firstLine="632" w:firstLineChars="200"/>
        <w:jc w:val="left"/>
        <w:rPr>
          <w:rFonts w:ascii="仿宋" w:hAnsi="仿宋" w:cs="仿宋"/>
          <w:szCs w:val="32"/>
        </w:rPr>
      </w:pPr>
      <w:r>
        <w:rPr>
          <w:rFonts w:hint="eastAsia" w:ascii="仿宋" w:hAnsi="仿宋" w:cs="仿宋"/>
          <w:szCs w:val="32"/>
        </w:rPr>
        <w:t>详见校园网《</w:t>
      </w:r>
      <w:r>
        <w:fldChar w:fldCharType="begin"/>
      </w:r>
      <w:r>
        <w:instrText xml:space="preserve"> HYPERLINK "http://ecampus.shou.edu.cn/web/guest/newscenter?p_p_id=jigsawZxzxNormal_WAR_jigsawZxzxportlet&amp;p_p_lifecycle=0&amp;p_p_state=normal&amp;p_p_mode=view&amp;_jigsawZxzxNormal_WAR_jigsawZxzxportlet_action=viewContent&amp;_jigsawZxzxNormal_WAR_jigsawZxzxportlet_contentId=266040" </w:instrText>
      </w:r>
      <w:r>
        <w:fldChar w:fldCharType="separate"/>
      </w:r>
      <w:r>
        <w:rPr>
          <w:rStyle w:val="5"/>
          <w:rFonts w:hint="eastAsia" w:ascii="仿宋" w:hAnsi="仿宋" w:cs="仿宋"/>
          <w:szCs w:val="32"/>
        </w:rPr>
        <w:t>关于启用上海海洋大学“企业微信”官方账号的通知</w:t>
      </w:r>
      <w:r>
        <w:rPr>
          <w:rStyle w:val="5"/>
          <w:rFonts w:hint="eastAsia" w:ascii="仿宋" w:hAnsi="仿宋" w:cs="仿宋"/>
          <w:szCs w:val="32"/>
        </w:rPr>
        <w:fldChar w:fldCharType="end"/>
      </w:r>
      <w:r>
        <w:rPr>
          <w:rFonts w:hint="eastAsia" w:ascii="仿宋" w:hAnsi="仿宋" w:cs="仿宋"/>
          <w:szCs w:val="32"/>
        </w:rPr>
        <w:t>》</w:t>
      </w:r>
    </w:p>
    <w:p>
      <w:pPr>
        <w:ind w:firstLine="632" w:firstLineChars="200"/>
        <w:rPr>
          <w:rFonts w:ascii="仿宋" w:hAnsi="仿宋" w:cs="仿宋"/>
          <w:szCs w:val="32"/>
        </w:rPr>
      </w:pPr>
      <w:r>
        <w:rPr>
          <w:rFonts w:hint="eastAsia" w:ascii="仿宋" w:hAnsi="仿宋" w:cs="仿宋"/>
          <w:szCs w:val="32"/>
        </w:rPr>
        <w:t>2.进入危险化学品全生命周期管控流程</w:t>
      </w:r>
    </w:p>
    <w:p>
      <w:pPr>
        <w:jc w:val="center"/>
        <w:rPr>
          <w:rFonts w:ascii="仿宋" w:hAnsi="仿宋" w:cs="仿宋" w:eastAsiaTheme="minorEastAsia"/>
          <w:szCs w:val="32"/>
        </w:rPr>
      </w:pPr>
      <w:r>
        <w:rPr>
          <w:sz w:val="21"/>
        </w:rPr>
        <mc:AlternateContent>
          <mc:Choice Requires="wps">
            <w:drawing>
              <wp:anchor distT="0" distB="0" distL="114300" distR="114300" simplePos="0" relativeHeight="251669504" behindDoc="0" locked="0" layoutInCell="1" allowOverlap="1">
                <wp:simplePos x="0" y="0"/>
                <wp:positionH relativeFrom="column">
                  <wp:posOffset>2092960</wp:posOffset>
                </wp:positionH>
                <wp:positionV relativeFrom="paragraph">
                  <wp:posOffset>1477645</wp:posOffset>
                </wp:positionV>
                <wp:extent cx="281305" cy="85090"/>
                <wp:effectExtent l="0" t="0" r="8255" b="6350"/>
                <wp:wrapNone/>
                <wp:docPr id="1" name="圆角矩形 1"/>
                <wp:cNvGraphicFramePr/>
                <a:graphic xmlns:a="http://schemas.openxmlformats.org/drawingml/2006/main">
                  <a:graphicData uri="http://schemas.microsoft.com/office/word/2010/wordprocessingShape">
                    <wps:wsp>
                      <wps:cNvSpPr/>
                      <wps:spPr>
                        <a:xfrm>
                          <a:off x="2870835" y="8162290"/>
                          <a:ext cx="281305" cy="8509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4.8pt;margin-top:116.35pt;height:6.7pt;width:22.15pt;z-index:251669504;v-text-anchor:middle;mso-width-relative:page;mso-height-relative:page;" fillcolor="#5B9BD5 [3204]" filled="t" stroked="f" coordsize="21600,21600" arcsize="0.166666666666667" o:gfxdata="UEsDBAoAAAAAAIdO4kAAAAAAAAAAAAAAAAAEAAAAZHJzL1BLAwQUAAAACACHTuJADUWRtNoAAAAL&#10;AQAADwAAAGRycy9kb3ducmV2LnhtbE2PPU/DMBCGdyT+g3VIbNROgtI2xOlQiYWJFgbY3Pgah8bn&#10;1Hb68e8xEx3v7tF7z1uvLnZgJ/ShdyQhmwlgSK3TPXUSPj9enxbAQlSk1eAIJVwxwKq5v6tVpd2Z&#10;Nnjaxo6lEAqVkmBiHCvOQ2vQqjBzI1K67Z23KqbRd1x7dU7hduC5ECW3qqf0wagR1wbbw3ayEtbR&#10;fG1EfiVavE+Hb58df/ZvRykfHzLxAiziJf7D8Kef1KFJTjs3kQ5skFDkyzKhEvIinwNLRDEvlsB2&#10;afNcZsCbmt92aH4BUEsDBBQAAAAIAIdO4kCN5kPwbAIAAJIEAAAOAAAAZHJzL2Uyb0RvYy54bWyt&#10;VM1uEzEQviPxDpbvdDfbpk2jbqq0URFSRSsK4ux47awl22NsJ5vyADxAz0hIXBAPweNU8BiMvdsf&#10;fk6IPXhndiYz833+JkfHW6PJRvigwNZ0tFNSIiyHRtlVTd+8Pns2oSREZhumwYqaXotAj2dPnxx1&#10;bioqaEE3whMsYsO0czVtY3TTogi8FYaFHXDCYlCCNyyi61dF41mH1Y0uqrLcLzrwjfPARQj4ddEH&#10;6SzXl1LweCFlEJHomuJsMZ8+n8t0FrMjNl155lrFhzHYP0xhmLLY9L7UgkVG1l79Ucoo7iGAjDsc&#10;TAFSKi4yBkQzKn9Dc9UyJzIWJCe4e5rC/yvLX24uPVEN3h0llhm8otuPH358ufn+6evtt89klBjq&#10;XJhi4pW79IMX0Exwt9Kb9EYgZFvTanJQTnbHlFzXdDLar6rDgWGxjYTnhNFuiXGeEsZlHy4e6jgf&#10;4nMBhiSjph7WtnmFl5i5ZZvzEHEAzL/LS70DaNWcKa2z41fLU+3JhuGFj08OTxbjhAB/8kuatqRD&#10;yNVBiaLgDIUnNYtoGodUBLuihOkVKppHn3tbSB2wUt97wULb98hlexkZFVHLWhnEVqZn6KwtDpA4&#10;7FlL1hKaa+TdQy/I4PiZQsTnLMRL5lGBOBZuVbzAQ2rAWWGwKGnBv//b95SPwsAoJR0qGnG8WzMv&#10;KNEvLErmcLS3l1YgO3vjgwod/ziyfByxa3MKyCHKAqfLZsqP+s6UHsxbXL556oohZjn27hkbnNPY&#10;bxquLxfzeU5D2TsWz+2V46l4ItTCfB1Bqny3D+wMpKHw8/0NS5o267Gfsx7+Sm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1FkbTaAAAACwEAAA8AAAAAAAAAAQAgAAAAIgAAAGRycy9kb3ducmV2&#10;LnhtbFBLAQIUABQAAAAIAIdO4kCN5kPwbAIAAJIEAAAOAAAAAAAAAAEAIAAAACkBAABkcnMvZTJv&#10;RG9jLnhtbFBLBQYAAAAABgAGAFkBAAAHBgAAAAA=&#10;">
                <v:fill on="t" focussize="0,0"/>
                <v:stroke on="f" weight="1pt" miterlimit="8" joinstyle="miter"/>
                <v:imagedata o:title=""/>
                <o:lock v:ext="edit" aspectratio="f"/>
              </v:roundrect>
            </w:pict>
          </mc:Fallback>
        </mc:AlternateContent>
      </w:r>
      <w:r>
        <w:drawing>
          <wp:inline distT="0" distB="0" distL="114300" distR="114300">
            <wp:extent cx="1618615" cy="2879725"/>
            <wp:effectExtent l="9525" t="9525" r="17780" b="215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618615" cy="2879725"/>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619250" cy="2879725"/>
            <wp:effectExtent l="9525" t="9525" r="17145" b="215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619250" cy="2879725"/>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619250" cy="2879725"/>
            <wp:effectExtent l="9525" t="9525" r="17145" b="2159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1619250" cy="2879725"/>
                    </a:xfrm>
                    <a:prstGeom prst="rect">
                      <a:avLst/>
                    </a:prstGeom>
                    <a:noFill/>
                    <a:ln>
                      <a:solidFill>
                        <a:schemeClr val="tx1"/>
                      </a:solidFill>
                    </a:ln>
                  </pic:spPr>
                </pic:pic>
              </a:graphicData>
            </a:graphic>
          </wp:inline>
        </w:drawing>
      </w:r>
    </w:p>
    <w:p>
      <w:pPr>
        <w:ind w:firstLine="632" w:firstLineChars="200"/>
        <w:rPr>
          <w:rFonts w:hint="eastAsia" w:ascii="仿宋" w:hAnsi="仿宋" w:eastAsia="仿宋" w:cs="仿宋"/>
          <w:szCs w:val="32"/>
          <w:lang w:val="en-US" w:eastAsia="zh-CN"/>
        </w:rPr>
      </w:pPr>
      <w:r>
        <w:rPr>
          <w:rFonts w:hint="eastAsia" w:ascii="仿宋" w:hAnsi="仿宋" w:cs="仿宋"/>
          <w:szCs w:val="32"/>
        </w:rPr>
        <w:t>第一步：危化品管理员认定申请</w:t>
      </w:r>
      <w:r>
        <w:rPr>
          <w:rFonts w:hint="eastAsia" w:ascii="仿宋" w:hAnsi="仿宋" w:cs="仿宋"/>
          <w:szCs w:val="32"/>
          <w:lang w:val="en-US" w:eastAsia="zh-CN"/>
        </w:rPr>
        <w:t>（</w:t>
      </w:r>
      <w:r>
        <w:rPr>
          <w:rFonts w:hint="eastAsia" w:ascii="仿宋" w:hAnsi="仿宋" w:cs="仿宋"/>
          <w:color w:val="FF0000"/>
          <w:szCs w:val="32"/>
          <w:lang w:val="en-US" w:eastAsia="zh-CN"/>
        </w:rPr>
        <w:t>需要实验室安全责任人操作，授权实验室学生作为实验室危化品专管人员</w:t>
      </w:r>
      <w:r>
        <w:rPr>
          <w:rFonts w:hint="eastAsia" w:ascii="仿宋" w:hAnsi="仿宋" w:cs="仿宋"/>
          <w:szCs w:val="32"/>
          <w:lang w:val="en-US" w:eastAsia="zh-CN"/>
        </w:rPr>
        <w:t>）。</w:t>
      </w:r>
    </w:p>
    <w:p>
      <w:pPr>
        <w:ind w:firstLine="632" w:firstLineChars="200"/>
        <w:rPr>
          <w:rFonts w:hint="eastAsia" w:ascii="仿宋" w:hAnsi="仿宋" w:eastAsia="仿宋" w:cs="仿宋"/>
          <w:szCs w:val="32"/>
          <w:lang w:eastAsia="zh-CN"/>
        </w:rPr>
      </w:pPr>
      <w:r>
        <w:rPr>
          <w:rFonts w:hint="eastAsia" w:ascii="仿宋" w:hAnsi="仿宋" w:cs="仿宋"/>
          <w:szCs w:val="32"/>
        </w:rPr>
        <w:t>第二步：危化品存储设施登记备案</w:t>
      </w:r>
      <w:r>
        <w:rPr>
          <w:rFonts w:hint="eastAsia" w:ascii="仿宋" w:hAnsi="仿宋" w:cs="仿宋"/>
          <w:szCs w:val="32"/>
          <w:lang w:eastAsia="zh-CN"/>
        </w:rPr>
        <w:t>（</w:t>
      </w:r>
      <w:r>
        <w:rPr>
          <w:rFonts w:hint="eastAsia" w:ascii="仿宋" w:hAnsi="仿宋" w:cs="仿宋"/>
          <w:color w:val="FF0000"/>
          <w:szCs w:val="32"/>
          <w:lang w:eastAsia="zh-CN"/>
        </w:rPr>
        <w:t>实验室安全责任人，或实验室危化品专管员可进行登记</w:t>
      </w:r>
      <w:r>
        <w:rPr>
          <w:rFonts w:hint="eastAsia" w:ascii="仿宋" w:hAnsi="仿宋" w:cs="仿宋"/>
          <w:szCs w:val="32"/>
          <w:lang w:eastAsia="zh-CN"/>
        </w:rPr>
        <w:t>）</w:t>
      </w:r>
    </w:p>
    <w:p>
      <w:pPr>
        <w:ind w:firstLine="632" w:firstLineChars="200"/>
        <w:rPr>
          <w:rFonts w:ascii="仿宋" w:hAnsi="仿宋" w:cs="仿宋"/>
          <w:szCs w:val="32"/>
        </w:rPr>
      </w:pPr>
      <w:r>
        <w:rPr>
          <w:rFonts w:hint="eastAsia" w:ascii="仿宋" w:hAnsi="仿宋" w:cs="仿宋"/>
          <w:szCs w:val="32"/>
        </w:rPr>
        <w:t>第三步：安全保障措施备案</w:t>
      </w:r>
    </w:p>
    <w:p>
      <w:pPr>
        <w:ind w:firstLine="632" w:firstLineChars="200"/>
        <w:rPr>
          <w:rFonts w:hint="default" w:ascii="仿宋" w:hAnsi="仿宋" w:eastAsia="仿宋" w:cs="仿宋"/>
          <w:szCs w:val="32"/>
          <w:lang w:val="en-US" w:eastAsia="zh-CN"/>
        </w:rPr>
      </w:pPr>
      <w:r>
        <w:rPr>
          <w:rFonts w:hint="eastAsia" w:ascii="仿宋" w:hAnsi="仿宋" w:cs="仿宋"/>
          <w:szCs w:val="32"/>
        </w:rPr>
        <w:t>第四步：现有危化品盘库备案</w:t>
      </w:r>
      <w:r>
        <w:rPr>
          <w:rFonts w:hint="eastAsia" w:ascii="仿宋" w:hAnsi="仿宋" w:cs="仿宋"/>
          <w:szCs w:val="32"/>
          <w:lang w:eastAsia="zh-CN"/>
        </w:rPr>
        <w:t>（</w:t>
      </w:r>
      <w:r>
        <w:rPr>
          <w:rFonts w:hint="eastAsia" w:ascii="仿宋" w:hAnsi="仿宋" w:cs="仿宋"/>
          <w:color w:val="FF0000"/>
          <w:szCs w:val="32"/>
          <w:lang w:eastAsia="zh-CN"/>
        </w:rPr>
        <w:t>易制毒、易制爆化学品请一定先核实本实验室库存信息，</w:t>
      </w:r>
      <w:r>
        <w:rPr>
          <w:rFonts w:hint="eastAsia" w:ascii="仿宋" w:hAnsi="仿宋" w:cs="仿宋"/>
          <w:color w:val="FF0000"/>
          <w:szCs w:val="32"/>
          <w:lang w:val="en-US" w:eastAsia="zh-CN"/>
        </w:rPr>
        <w:t>2019年购置的易制爆化学品实验室必须要进行盘库</w:t>
      </w:r>
      <w:r>
        <w:rPr>
          <w:rFonts w:hint="eastAsia" w:ascii="仿宋" w:hAnsi="仿宋" w:cs="仿宋"/>
          <w:szCs w:val="32"/>
          <w:lang w:val="en-US" w:eastAsia="zh-CN"/>
        </w:rPr>
        <w:t>）</w:t>
      </w:r>
    </w:p>
    <w:p>
      <w:pPr>
        <w:ind w:firstLine="632" w:firstLineChars="200"/>
        <w:rPr>
          <w:rFonts w:ascii="仿宋" w:hAnsi="仿宋" w:cs="仿宋"/>
          <w:szCs w:val="32"/>
        </w:rPr>
      </w:pPr>
      <w:r>
        <w:rPr>
          <w:rFonts w:hint="eastAsia" w:ascii="仿宋" w:hAnsi="仿宋" w:cs="仿宋"/>
          <w:szCs w:val="32"/>
        </w:rPr>
        <w:t>第五步：危化品消耗登记</w:t>
      </w:r>
    </w:p>
    <w:p>
      <w:pPr>
        <w:ind w:firstLine="632" w:firstLineChars="200"/>
        <w:rPr>
          <w:rFonts w:hint="eastAsia" w:ascii="仿宋" w:hAnsi="仿宋" w:eastAsia="仿宋" w:cs="仿宋"/>
          <w:szCs w:val="32"/>
          <w:lang w:eastAsia="zh-CN"/>
        </w:rPr>
      </w:pPr>
      <w:r>
        <w:rPr>
          <w:rFonts w:hint="eastAsia" w:ascii="仿宋" w:hAnsi="仿宋" w:cs="仿宋"/>
          <w:szCs w:val="32"/>
        </w:rPr>
        <w:t>第六步：危化品申购登记</w:t>
      </w:r>
      <w:r>
        <w:rPr>
          <w:rFonts w:hint="eastAsia" w:ascii="仿宋" w:hAnsi="仿宋" w:cs="仿宋"/>
          <w:szCs w:val="32"/>
          <w:lang w:eastAsia="zh-CN"/>
        </w:rPr>
        <w:t>（</w:t>
      </w:r>
      <w:r>
        <w:rPr>
          <w:rFonts w:hint="eastAsia" w:ascii="仿宋" w:hAnsi="仿宋" w:cs="仿宋"/>
          <w:color w:val="FF0000"/>
          <w:szCs w:val="32"/>
          <w:lang w:eastAsia="zh-CN"/>
        </w:rPr>
        <w:t>一般危化品在报销前需在低值入库系统内填写入库，入库前在本系统做好危化品申购，目前一般危化品暂时可以实验室自购，管控药品需要实验室提出申请，然后设备处办理采购</w:t>
      </w:r>
      <w:r>
        <w:rPr>
          <w:rFonts w:hint="eastAsia" w:ascii="仿宋" w:hAnsi="仿宋" w:cs="仿宋"/>
          <w:szCs w:val="32"/>
          <w:lang w:eastAsia="zh-CN"/>
        </w:rPr>
        <w:t>）</w:t>
      </w:r>
    </w:p>
    <w:p>
      <w:pPr>
        <w:ind w:firstLine="632" w:firstLineChars="200"/>
        <w:rPr>
          <w:rFonts w:ascii="仿宋" w:hAnsi="仿宋" w:cs="仿宋"/>
          <w:szCs w:val="32"/>
        </w:rPr>
      </w:pPr>
      <w:r>
        <w:rPr>
          <w:rFonts w:hint="eastAsia" w:ascii="仿宋" w:hAnsi="仿宋" w:cs="仿宋"/>
          <w:b/>
          <w:bCs/>
          <w:szCs w:val="32"/>
        </w:rPr>
        <w:t>提示：</w:t>
      </w:r>
      <w:r>
        <w:rPr>
          <w:rFonts w:hint="eastAsia" w:ascii="仿宋" w:hAnsi="仿宋" w:cs="仿宋"/>
          <w:szCs w:val="32"/>
        </w:rPr>
        <w:t>只有完成前五步实验室相关基础数据的整合，方可进行危化品申购登记。</w:t>
      </w:r>
    </w:p>
    <w:p>
      <w:pPr>
        <w:ind w:firstLine="632" w:firstLineChars="200"/>
        <w:rPr>
          <w:rFonts w:ascii="仿宋" w:hAnsi="仿宋" w:cs="仿宋"/>
          <w:szCs w:val="32"/>
        </w:rPr>
      </w:pPr>
      <w:r>
        <w:rPr>
          <w:rFonts w:hint="eastAsia" w:ascii="仿宋" w:hAnsi="仿宋" w:cs="仿宋"/>
          <w:b/>
          <w:bCs/>
          <w:szCs w:val="32"/>
        </w:rPr>
        <w:t>说明</w:t>
      </w:r>
      <w:r>
        <w:rPr>
          <w:rFonts w:hint="eastAsia" w:ascii="仿宋" w:hAnsi="仿宋" w:cs="仿宋"/>
          <w:szCs w:val="32"/>
        </w:rPr>
        <w:t>：</w:t>
      </w:r>
    </w:p>
    <w:p>
      <w:pPr>
        <w:ind w:firstLine="632" w:firstLineChars="200"/>
        <w:jc w:val="left"/>
        <w:rPr>
          <w:rFonts w:ascii="仿宋" w:hAnsi="仿宋" w:cs="仿宋"/>
          <w:szCs w:val="32"/>
        </w:rPr>
      </w:pPr>
      <w:r>
        <w:rPr>
          <w:rFonts w:hint="eastAsia" w:ascii="仿宋" w:hAnsi="仿宋" w:cs="仿宋"/>
          <w:szCs w:val="32"/>
        </w:rPr>
        <w:t>1.关于危化品存储设施编号的说明</w:t>
      </w:r>
    </w:p>
    <w:p>
      <w:pPr>
        <w:ind w:firstLine="632" w:firstLineChars="200"/>
        <w:jc w:val="left"/>
        <w:rPr>
          <w:rFonts w:ascii="仿宋" w:hAnsi="仿宋" w:cs="仿宋"/>
          <w:szCs w:val="32"/>
        </w:rPr>
      </w:pPr>
      <w:r>
        <w:rPr>
          <w:rFonts w:hint="eastAsia" w:ascii="仿宋" w:hAnsi="仿宋" w:cs="仿宋"/>
          <w:szCs w:val="32"/>
        </w:rPr>
        <w:t>危化品存储设施编号以流水号的形式出现，填写时无法看到，提交并各级管理员审核通过后会出现在“危化品存储设施清单”里，查询路径如下：</w:t>
      </w:r>
    </w:p>
    <w:p>
      <w:pPr>
        <w:jc w:val="center"/>
        <w:rPr>
          <w:rFonts w:ascii="仿宋" w:hAnsi="仿宋" w:cs="仿宋" w:eastAsiaTheme="minorEastAsia"/>
          <w:szCs w:val="32"/>
        </w:rPr>
      </w:pPr>
      <w:r>
        <w:rPr>
          <w:rFonts w:hint="eastAsia"/>
        </w:rPr>
        <w:t xml:space="preserve">  </w:t>
      </w:r>
      <w:r>
        <w:drawing>
          <wp:inline distT="0" distB="0" distL="114300" distR="114300">
            <wp:extent cx="1619250" cy="2879725"/>
            <wp:effectExtent l="9525" t="9525" r="17145" b="2159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1619250" cy="2879725"/>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619250" cy="2879725"/>
            <wp:effectExtent l="9525" t="9525" r="17145" b="2159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1619250" cy="2879725"/>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619250" cy="2879725"/>
            <wp:effectExtent l="9525" t="9525" r="17145" b="2159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1"/>
                    <a:stretch>
                      <a:fillRect/>
                    </a:stretch>
                  </pic:blipFill>
                  <pic:spPr>
                    <a:xfrm>
                      <a:off x="0" y="0"/>
                      <a:ext cx="1619250" cy="2879725"/>
                    </a:xfrm>
                    <a:prstGeom prst="rect">
                      <a:avLst/>
                    </a:prstGeom>
                    <a:noFill/>
                    <a:ln>
                      <a:solidFill>
                        <a:schemeClr val="tx1"/>
                      </a:solidFill>
                    </a:ln>
                  </pic:spPr>
                </pic:pic>
              </a:graphicData>
            </a:graphic>
          </wp:inline>
        </w:drawing>
      </w:r>
    </w:p>
    <w:p>
      <w:pPr>
        <w:ind w:firstLine="632" w:firstLineChars="200"/>
        <w:jc w:val="left"/>
        <w:rPr>
          <w:rFonts w:ascii="仿宋" w:hAnsi="仿宋" w:cs="仿宋"/>
          <w:szCs w:val="32"/>
        </w:rPr>
      </w:pPr>
      <w:r>
        <w:rPr>
          <w:rFonts w:hint="eastAsia" w:ascii="仿宋" w:hAnsi="仿宋" w:cs="仿宋"/>
          <w:szCs w:val="32"/>
        </w:rPr>
        <w:t>危化品管理员在能查询到危化品存储设施编号后先用标签纸写上编号在存储设施显著位置张贴，便于之后各表单的填写，待全校危化品存储设施备案工作基本完成后，统一制作编号牌。</w:t>
      </w:r>
    </w:p>
    <w:p>
      <w:pPr>
        <w:ind w:firstLine="632" w:firstLineChars="200"/>
        <w:rPr>
          <w:rFonts w:ascii="仿宋" w:hAnsi="仿宋" w:cs="仿宋"/>
          <w:sz w:val="28"/>
          <w:szCs w:val="28"/>
        </w:rPr>
      </w:pPr>
      <w:r>
        <w:rPr>
          <w:rFonts w:hint="eastAsia" w:ascii="仿宋" w:hAnsi="仿宋" w:cs="仿宋"/>
          <w:szCs w:val="32"/>
        </w:rPr>
        <w:t>2.危化品申购与消耗登记经</w:t>
      </w:r>
      <w:r>
        <w:rPr>
          <w:rFonts w:hint="eastAsia" w:ascii="仿宋" w:hAnsi="仿宋" w:cs="仿宋"/>
          <w:szCs w:val="32"/>
          <w:u w:val="single"/>
        </w:rPr>
        <w:t>危化品管理员</w:t>
      </w:r>
      <w:r>
        <w:rPr>
          <w:rFonts w:hint="eastAsia" w:ascii="仿宋" w:hAnsi="仿宋" w:cs="仿宋"/>
          <w:szCs w:val="32"/>
        </w:rPr>
        <w:t>、</w:t>
      </w:r>
      <w:r>
        <w:rPr>
          <w:rFonts w:hint="eastAsia" w:ascii="仿宋" w:hAnsi="仿宋" w:cs="仿宋"/>
          <w:szCs w:val="32"/>
          <w:u w:val="single"/>
        </w:rPr>
        <w:t>实验室</w:t>
      </w:r>
      <w:r>
        <w:rPr>
          <w:rFonts w:hint="eastAsia" w:ascii="仿宋" w:hAnsi="仿宋" w:cs="仿宋"/>
          <w:szCs w:val="32"/>
        </w:rPr>
        <w:t>安全责任人、</w:t>
      </w:r>
      <w:r>
        <w:rPr>
          <w:rFonts w:hint="eastAsia" w:ascii="仿宋" w:hAnsi="仿宋" w:cs="仿宋"/>
          <w:szCs w:val="32"/>
          <w:u w:val="single"/>
        </w:rPr>
        <w:t>院级</w:t>
      </w:r>
      <w:r>
        <w:rPr>
          <w:rFonts w:hint="eastAsia" w:ascii="仿宋" w:hAnsi="仿宋" w:cs="仿宋"/>
          <w:szCs w:val="32"/>
        </w:rPr>
        <w:t>管理人</w:t>
      </w:r>
      <w:r>
        <w:rPr>
          <w:rFonts w:hint="eastAsia" w:ascii="仿宋" w:hAnsi="仿宋" w:cs="仿宋"/>
          <w:b/>
          <w:bCs/>
          <w:color w:val="FF0000"/>
          <w:szCs w:val="32"/>
        </w:rPr>
        <w:t>三级审核通过</w:t>
      </w:r>
      <w:r>
        <w:rPr>
          <w:rFonts w:hint="eastAsia" w:ascii="仿宋" w:hAnsi="仿宋" w:cs="仿宋"/>
          <w:szCs w:val="32"/>
        </w:rPr>
        <w:t>后，反馈实验室与设备管理处备案，相关药品信息传递到入库信息库与出库信息库，构成库存量，</w:t>
      </w:r>
      <w:r>
        <w:rPr>
          <w:rFonts w:hint="eastAsia" w:ascii="仿宋" w:hAnsi="仿宋" w:cs="仿宋"/>
          <w:b/>
          <w:bCs/>
          <w:color w:val="FF0000"/>
          <w:szCs w:val="32"/>
        </w:rPr>
        <w:t>库存量</w:t>
      </w:r>
      <w:r>
        <w:rPr>
          <w:rFonts w:hint="eastAsia" w:ascii="仿宋" w:hAnsi="仿宋" w:cs="仿宋"/>
          <w:szCs w:val="32"/>
        </w:rPr>
        <w:t>在申购与消耗时体现在药品信息中，作为药品</w:t>
      </w:r>
      <w:r>
        <w:rPr>
          <w:rFonts w:hint="eastAsia" w:ascii="仿宋" w:hAnsi="仿宋" w:cs="仿宋"/>
          <w:b/>
          <w:bCs/>
          <w:color w:val="FF0000"/>
          <w:szCs w:val="32"/>
        </w:rPr>
        <w:t>申购的审核依据</w:t>
      </w:r>
      <w:r>
        <w:rPr>
          <w:rFonts w:hint="eastAsia" w:ascii="仿宋" w:hAnsi="仿宋" w:cs="仿宋"/>
          <w:szCs w:val="32"/>
        </w:rPr>
        <w:t>。</w:t>
      </w:r>
    </w:p>
    <w:p/>
    <w:sectPr>
      <w:footerReference r:id="rId3" w:type="default"/>
      <w:footerReference r:id="rId4" w:type="even"/>
      <w:pgSz w:w="11906" w:h="16838"/>
      <w:pgMar w:top="1587" w:right="1474" w:bottom="1984" w:left="1588" w:header="851" w:footer="141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425529"/>
    </w:sdtPr>
    <w:sdtContent>
      <w:p>
        <w:pPr>
          <w:pStyle w:val="2"/>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552007"/>
    </w:sdtPr>
    <w:sdtEndPr>
      <w:rPr>
        <w:rFonts w:asciiTheme="majorEastAsia" w:hAnsiTheme="majorEastAsia" w:eastAsiaTheme="majorEastAsia"/>
        <w:sz w:val="28"/>
        <w:szCs w:val="28"/>
      </w:rPr>
    </w:sdtEndPr>
    <w:sdtContent>
      <w:p>
        <w:pPr>
          <w:pStyle w:val="2"/>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E0E2D"/>
    <w:rsid w:val="2B1E296F"/>
    <w:rsid w:val="324431FE"/>
    <w:rsid w:val="32CE0E2D"/>
    <w:rsid w:val="3EFD360E"/>
    <w:rsid w:val="5AF7518D"/>
    <w:rsid w:val="7FB8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FollowedHyperlink"/>
    <w:basedOn w:val="4"/>
    <w:semiHidden/>
    <w:unhideWhenUsed/>
    <w:qFormat/>
    <w:uiPriority w:val="99"/>
    <w:rPr>
      <w:color w:val="800080"/>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2020-04-29T06:45:00Z</dcterms:created>
  <dc:creator>一念花开</dc:creator>
  <cp:lastModifiedBy>cy</cp:lastModifiedBy>
  <dcterms:modified xsi:type="dcterms:W3CDTF">2020-06-19T04:26:59Z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