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0256" w:rsidRDefault="00000000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1</w:t>
      </w:r>
    </w:p>
    <w:p w:rsidR="003E0256" w:rsidRDefault="00000000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2323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23232"/>
          <w:kern w:val="0"/>
          <w:sz w:val="44"/>
          <w:szCs w:val="44"/>
        </w:rPr>
        <w:t>气体、气瓶验收、存储、使用要求</w:t>
      </w:r>
    </w:p>
    <w:p w:rsidR="003E0256" w:rsidRDefault="00000000">
      <w:pPr>
        <w:widowControl/>
        <w:shd w:val="clear" w:color="auto" w:fill="FFFFFF"/>
        <w:jc w:val="left"/>
        <w:rPr>
          <w:rFonts w:ascii="黑体" w:eastAsia="黑体" w:hAnsi="黑体" w:cs="黑体"/>
          <w:color w:val="32323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23232"/>
          <w:kern w:val="0"/>
          <w:sz w:val="32"/>
          <w:szCs w:val="32"/>
        </w:rPr>
        <w:t>一、气体验收要求</w:t>
      </w:r>
    </w:p>
    <w:p w:rsidR="003E0256" w:rsidRDefault="00000000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气体使用人或责任人应对拟接收使用的气瓶第一时间进行检查验收，验收合格后方可接收。对气瓶的检查验收主要包括以下几个方面：</w:t>
      </w:r>
    </w:p>
    <w:p w:rsidR="003E0256" w:rsidRDefault="00000000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1.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气瓶是否有清晰可见的外表涂色、字样和警示标签，是否符合国家规定的外观规范标准（表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）。</w:t>
      </w:r>
    </w:p>
    <w:p w:rsidR="003E0256" w:rsidRDefault="00000000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2.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气瓶外表是否存在腐蚀、变形、磨损、裂纹等严重缺陷；</w:t>
      </w:r>
    </w:p>
    <w:p w:rsidR="003E0256" w:rsidRDefault="00000000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3.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气瓶附件（防震圈、瓶帽、瓶阀）是否齐全、完好；</w:t>
      </w:r>
    </w:p>
    <w:p w:rsidR="003E0256" w:rsidRDefault="00000000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4.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气瓶是否超过定期检验周期，使用年限是否超过报废期限；</w:t>
      </w:r>
    </w:p>
    <w:p w:rsidR="003E0256" w:rsidRDefault="00000000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5.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气瓶是否存在泄漏等现象。</w:t>
      </w:r>
    </w:p>
    <w:p w:rsidR="003E0256" w:rsidRDefault="00000000">
      <w:pPr>
        <w:widowControl/>
        <w:shd w:val="clear" w:color="auto" w:fill="FFFFFF"/>
        <w:jc w:val="center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表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 xml:space="preserve">1 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气瓶外观规范标准</w:t>
      </w:r>
    </w:p>
    <w:tbl>
      <w:tblPr>
        <w:tblpPr w:leftFromText="180" w:rightFromText="180" w:vertAnchor="text" w:horzAnchor="margin" w:tblpXSpec="center" w:tblpY="257"/>
        <w:tblW w:w="7965" w:type="dxa"/>
        <w:tblLook w:val="04A0" w:firstRow="1" w:lastRow="0" w:firstColumn="1" w:lastColumn="0" w:noHBand="0" w:noVBand="1"/>
      </w:tblPr>
      <w:tblGrid>
        <w:gridCol w:w="737"/>
        <w:gridCol w:w="1191"/>
        <w:gridCol w:w="1417"/>
        <w:gridCol w:w="1559"/>
        <w:gridCol w:w="1814"/>
        <w:gridCol w:w="1247"/>
      </w:tblGrid>
      <w:tr w:rsidR="003E0256">
        <w:trPr>
          <w:trHeight w:val="6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14:ligatures w14:val="none"/>
              </w:rPr>
              <w:t>充装气体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14:ligatures w14:val="none"/>
              </w:rPr>
              <w:t>化学式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（或符号）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14:ligatures w14:val="none"/>
              </w:rPr>
              <w:t>体色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14:ligatures w14:val="none"/>
              </w:rPr>
              <w:t>字样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14:ligatures w14:val="none"/>
              </w:rPr>
              <w:t>字色</w:t>
            </w:r>
          </w:p>
        </w:tc>
      </w:tr>
      <w:tr w:rsidR="003E0256">
        <w:trPr>
          <w:trHeight w:val="2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空气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空气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白</w:t>
            </w:r>
          </w:p>
        </w:tc>
      </w:tr>
      <w:tr w:rsidR="003E0256">
        <w:trPr>
          <w:trHeight w:val="13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银灰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氩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深绿</w:t>
            </w:r>
          </w:p>
        </w:tc>
      </w:tr>
      <w:tr w:rsidR="003E0256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银灰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深绿</w:t>
            </w:r>
          </w:p>
        </w:tc>
      </w:tr>
      <w:tr w:rsidR="003E0256">
        <w:trPr>
          <w:trHeight w:val="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银灰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深绿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一氧化氮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一氧化氮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黑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白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（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酞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蓝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氧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黑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一氧化碳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银灰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一氧化碳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大红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淡绿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氢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大红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甲烷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棕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甲烷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白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天然气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棕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天然气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白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二氧化碳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铝白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二氧化碳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黑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二氧化硫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银灰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二氧化硫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黑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淡黄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液氨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黑</w:t>
            </w:r>
          </w:p>
        </w:tc>
      </w:tr>
      <w:tr w:rsidR="003E0256">
        <w:trPr>
          <w:trHeight w:val="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乙炔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乙炔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不可近火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256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大红</w:t>
            </w:r>
          </w:p>
        </w:tc>
      </w:tr>
    </w:tbl>
    <w:p w:rsidR="003E0256" w:rsidRDefault="00000000">
      <w:pPr>
        <w:widowControl/>
        <w:shd w:val="clear" w:color="auto" w:fill="FFFFFF"/>
        <w:jc w:val="left"/>
        <w:rPr>
          <w:rFonts w:ascii="黑体" w:eastAsia="黑体" w:hAnsi="黑体" w:cs="黑体"/>
          <w:color w:val="32323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23232"/>
          <w:kern w:val="0"/>
          <w:sz w:val="32"/>
          <w:szCs w:val="32"/>
        </w:rPr>
        <w:t>二</w:t>
      </w:r>
      <w:r>
        <w:rPr>
          <w:rFonts w:ascii="黑体" w:eastAsia="黑体" w:hAnsi="黑体" w:cs="黑体"/>
          <w:color w:val="323232"/>
          <w:kern w:val="0"/>
          <w:sz w:val="32"/>
          <w:szCs w:val="32"/>
        </w:rPr>
        <w:t>、气瓶存储要求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1.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实验室应将存放和使用气瓶的数量控制在最小需求量，严禁超量存放。同时使用气瓶较多的实验室，应优化安全用气方式，考虑优先设置外接气源，建设规范的气瓶间或专用气瓶柜。如确需一次性订购大量气体，需论证审批。对于常年不使用的气瓶须及时联系供气商回收处置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2.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气瓶存放区域应通风、远离热源、避免暴晒，地面平整干燥；气瓶周围不得放置其他易燃易爆危险品和能发生反应的化学品；禁止在楼道、大厅等公共场所存放气瓶。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3.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气瓶应直立存放，使用气瓶柜、气瓶架等方式固定，且采取有效的防倾倒措施，禁止利用气瓶瓶阀或头部固定气瓶。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4.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气瓶应分类分开存放，可燃性气体不得与氧气等助燃气体混放，要确保安全距离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米以上，气瓶与明火或电气设备的间距不应小于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10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米。氧气或其他氧化性气体的气瓶周围不得有可燃物品、油渍及其他杂物。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lastRenderedPageBreak/>
        <w:t>5.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使用有毒有害、易燃易爆气体（尤其氢气、乙炔等）的实验室，应尽量将此类气瓶放置于室外，同时在室内配备气体监控报警装置和通风设施；大量惰性气体、二氧化碳存放在有限空间内，应加装氧气含量报警器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6.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在搬动存放的气瓶时，应装上防震垫圈，旋紧安全帽，使用气瓶搬运专用推车，</w:t>
      </w:r>
      <w:proofErr w:type="gramStart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得用手执气瓶开关阀移动，更不得拖拽、滚动或用脚蹬踹。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7.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气瓶存储、使用须有相应警示、状态等标识。</w:t>
      </w:r>
    </w:p>
    <w:p w:rsidR="003E0256" w:rsidRDefault="00000000">
      <w:pPr>
        <w:widowControl/>
        <w:shd w:val="clear" w:color="auto" w:fill="FFFFFF"/>
        <w:jc w:val="left"/>
        <w:rPr>
          <w:rFonts w:ascii="黑体" w:eastAsia="黑体" w:hAnsi="黑体" w:cs="黑体"/>
          <w:color w:val="32323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23232"/>
          <w:kern w:val="0"/>
          <w:sz w:val="32"/>
          <w:szCs w:val="32"/>
        </w:rPr>
        <w:t>三</w:t>
      </w:r>
      <w:r>
        <w:rPr>
          <w:rFonts w:ascii="黑体" w:eastAsia="黑体" w:hAnsi="黑体" w:cs="黑体"/>
          <w:color w:val="323232"/>
          <w:kern w:val="0"/>
          <w:sz w:val="32"/>
          <w:szCs w:val="32"/>
        </w:rPr>
        <w:t>、气瓶使用要求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1.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气瓶使用前应对气瓶进行安全检查，除按第三条检查外，还应检查减压器、流量表、软管、防回火装置是否有泄露、磨损及接头松懈等现象，并对盛装气体成分进行确认，检查不合格的气瓶不能使用。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．使用时应缓慢开启或关闭瓶阀，</w:t>
      </w:r>
      <w:proofErr w:type="gramStart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得用工具硬扳，以防损坏瓶阀。特别是盛装可燃气体的气瓶，以防止产生摩擦热或静电火花。打开气瓶阀门时，人站的位置要避开气瓶出气口。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．气瓶及附件应保持清洁、干燥，防止沾染腐蚀性介质、灰尘等。氧气瓶</w:t>
      </w:r>
      <w:proofErr w:type="gramStart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阀不得沾</w:t>
      </w:r>
      <w:proofErr w:type="gramEnd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有油脂，</w:t>
      </w:r>
      <w:proofErr w:type="gramStart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得用沾有油脂的工具、手套或油污工作服去接触氧气瓶阀、减压器等。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lastRenderedPageBreak/>
        <w:t>4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．气瓶</w:t>
      </w:r>
      <w:proofErr w:type="gramStart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应专瓶</w:t>
      </w:r>
      <w:proofErr w:type="gramEnd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专用，不得任意改动，严禁串用、代用、混用。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．气瓶要挂有使用状态标识牌，显示气瓶使用状态，包括</w:t>
      </w:r>
      <w:r>
        <w:rPr>
          <w:rFonts w:ascii="Times New Roman" w:eastAsia="仿宋" w:hAnsi="Times New Roman" w:cs="Times New Roman" w:hint="eastAsia"/>
          <w:color w:val="323232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空瓶</w:t>
      </w:r>
      <w:r>
        <w:rPr>
          <w:rFonts w:ascii="Times New Roman" w:eastAsia="仿宋" w:hAnsi="Times New Roman" w:cs="Times New Roman" w:hint="eastAsia"/>
          <w:color w:val="323232"/>
          <w:kern w:val="0"/>
          <w:sz w:val="32"/>
          <w:szCs w:val="32"/>
        </w:rPr>
        <w:t>”“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在用</w:t>
      </w:r>
      <w:r>
        <w:rPr>
          <w:rFonts w:ascii="Times New Roman" w:eastAsia="仿宋" w:hAnsi="Times New Roman" w:cs="Times New Roman" w:hint="eastAsia"/>
          <w:color w:val="323232"/>
          <w:kern w:val="0"/>
          <w:sz w:val="32"/>
          <w:szCs w:val="32"/>
        </w:rPr>
        <w:t>”“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满瓶</w:t>
      </w:r>
      <w:r>
        <w:rPr>
          <w:rFonts w:ascii="Times New Roman" w:eastAsia="仿宋" w:hAnsi="Times New Roman" w:cs="Times New Roman" w:hint="eastAsia"/>
          <w:color w:val="323232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标签。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6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．严禁将气瓶与电器设备及电线等相接触。</w:t>
      </w:r>
      <w:proofErr w:type="gramStart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内装可燃气</w:t>
      </w:r>
      <w:proofErr w:type="gramEnd"/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体的气瓶，应该远离电线密集处，以防止电线短路着火引燃可燃气体。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7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．瓶内气体不得用尽，必须保留一定剩余压力。一般气瓶的剩余压力应不小于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0.05MPa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，可燃性气体应剩余压力应为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0.2-0.3MPa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。</w:t>
      </w:r>
    </w:p>
    <w:p w:rsidR="003E0256" w:rsidRDefault="00000000">
      <w:pPr>
        <w:widowControl/>
        <w:shd w:val="clear" w:color="auto" w:fill="FFFFFF"/>
        <w:ind w:firstLineChars="200" w:firstLine="640"/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8.</w:t>
      </w:r>
      <w:r>
        <w:rPr>
          <w:rFonts w:ascii="Times New Roman" w:eastAsia="仿宋" w:hAnsi="Times New Roman" w:cs="Times New Roman"/>
          <w:color w:val="323232"/>
          <w:kern w:val="0"/>
          <w:sz w:val="32"/>
          <w:szCs w:val="32"/>
        </w:rPr>
        <w:t>使用过程中如发现气瓶泄露，立即停止使用，在保证安全的前提下，关闭瓶阀，如果瓶阀失控或漏气点不在瓶阀上，应采取相应紧急处理措施，并查找原因，及时整改。严禁在泄露的情况下使用气瓶。</w:t>
      </w:r>
    </w:p>
    <w:p w:rsidR="003E0256" w:rsidRDefault="003E0256">
      <w:pPr>
        <w:widowControl/>
        <w:shd w:val="clear" w:color="auto" w:fill="FDFDFE"/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3E0256" w:rsidRDefault="003E0256">
      <w:pPr>
        <w:rPr>
          <w:rFonts w:ascii="Times New Roman" w:eastAsia="仿宋" w:hAnsi="Times New Roman" w:cs="Times New Roman"/>
          <w:sz w:val="32"/>
          <w:szCs w:val="32"/>
        </w:rPr>
      </w:pPr>
    </w:p>
    <w:sectPr w:rsidR="003E0256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1410" w:rsidRDefault="001D1410">
      <w:r>
        <w:separator/>
      </w:r>
    </w:p>
  </w:endnote>
  <w:endnote w:type="continuationSeparator" w:id="0">
    <w:p w:rsidR="001D1410" w:rsidRDefault="001D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B4F8FD5-D972-4D88-9CA8-2086B9D683D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D17846A-5124-41E6-9585-5E8CFB22414D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3" w:subsetted="1" w:fontKey="{5A28ABA5-9B93-4FB2-B55C-D3BC1D82E22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9A89D25-6331-48BC-B895-269177D68CD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025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256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1410" w:rsidRDefault="001D1410">
      <w:r>
        <w:separator/>
      </w:r>
    </w:p>
  </w:footnote>
  <w:footnote w:type="continuationSeparator" w:id="0">
    <w:p w:rsidR="001D1410" w:rsidRDefault="001D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TrueType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FmZjlkYTcxYjAxNjk0MGQ5ZjMwM2UyMzM1OTcxNDMifQ=="/>
  </w:docVars>
  <w:rsids>
    <w:rsidRoot w:val="0076291D"/>
    <w:rsid w:val="0005559D"/>
    <w:rsid w:val="001D1410"/>
    <w:rsid w:val="002207C7"/>
    <w:rsid w:val="00230D5B"/>
    <w:rsid w:val="003E0256"/>
    <w:rsid w:val="0076291D"/>
    <w:rsid w:val="00926D48"/>
    <w:rsid w:val="009730B4"/>
    <w:rsid w:val="00A01B3C"/>
    <w:rsid w:val="00DA1F46"/>
    <w:rsid w:val="00DF3645"/>
    <w:rsid w:val="00E11BF6"/>
    <w:rsid w:val="0C12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5433336-804A-4C5A-B24E-50E11BD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Malgun Gothic Semilight" w:eastAsia="Malgun Gothic Semilight" w:hAnsi="Malgun Gothic Semilight" w:cs="Malgun Gothic Semilight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hint="eastAsia"/>
      <w:color w:val="000000"/>
      <w:sz w:val="22"/>
      <w:szCs w:val="22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进 张</dc:creator>
  <cp:lastModifiedBy>世蓝 白</cp:lastModifiedBy>
  <cp:revision>2</cp:revision>
  <dcterms:created xsi:type="dcterms:W3CDTF">2024-05-29T05:57:00Z</dcterms:created>
  <dcterms:modified xsi:type="dcterms:W3CDTF">2024-05-29T05:57:00Z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580A03C70AAA40779BAD4F5AAD85301D_12</vt:lpwstr>
  </property>
</Properties>
</file>